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3"/>
      </w:pPr>
      <w:r/>
      <w:r/>
    </w:p>
    <w:p>
      <w:pPr>
        <w:pStyle w:val="653"/>
        <w:rPr>
          <w:sz w:val="28"/>
          <w:szCs w:val="28"/>
        </w:rPr>
      </w:pPr>
      <w:r>
        <w:t xml:space="preserve">                                                                                         </w:t>
      </w:r>
      <w:r/>
    </w:p>
    <w:p>
      <w:pPr>
        <w:pStyle w:val="653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5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Установленная </w:t>
      </w:r>
      <w:r>
        <w:rPr>
          <w:sz w:val="28"/>
          <w:szCs w:val="28"/>
        </w:rPr>
        <w:t xml:space="preserve">электрическая </w:t>
      </w:r>
      <w:r>
        <w:rPr>
          <w:sz w:val="28"/>
          <w:szCs w:val="28"/>
        </w:rPr>
        <w:t xml:space="preserve">мощность филиала ПАО «ОГК-2» - Рязанская ГРЭС» составляет 3</w:t>
      </w:r>
      <w:r>
        <w:rPr>
          <w:sz w:val="28"/>
          <w:szCs w:val="28"/>
        </w:rPr>
        <w:t xml:space="preserve">024</w:t>
      </w:r>
      <w:r>
        <w:rPr>
          <w:sz w:val="28"/>
          <w:szCs w:val="28"/>
        </w:rPr>
        <w:t xml:space="preserve"> МВт. </w:t>
      </w:r>
      <w:r>
        <w:rPr>
          <w:sz w:val="28"/>
          <w:szCs w:val="28"/>
        </w:rPr>
        <w:t xml:space="preserve">Тепловая мощност</w:t>
      </w:r>
      <w:r>
        <w:rPr>
          <w:sz w:val="28"/>
          <w:szCs w:val="28"/>
        </w:rPr>
        <w:t xml:space="preserve">ь – 212,5 Гкал/час.</w:t>
      </w:r>
      <w:r>
        <w:rPr>
          <w:sz w:val="28"/>
          <w:szCs w:val="28"/>
        </w:rPr>
      </w:r>
      <w:r/>
    </w:p>
    <w:p>
      <w:pPr>
        <w:pStyle w:val="653"/>
        <w:jc w:val="both"/>
        <w:widowControl w:val="off"/>
        <w:tabs>
          <w:tab w:val="left" w:pos="4820" w:leader="none"/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Станция состоит из трех очередей: котлотурбинного цеха №1, котлотурбинного цеха №2, котлотурбинного цеха №</w:t>
      </w:r>
      <w:r>
        <w:rPr>
          <w:sz w:val="28"/>
          <w:szCs w:val="28"/>
        </w:rPr>
        <w:t xml:space="preserve">2 </w:t>
      </w:r>
      <w:r>
        <w:rPr>
          <w:szCs w:val="28"/>
        </w:rPr>
        <w:t xml:space="preserve">(</w:t>
      </w:r>
      <w:r>
        <w:rPr>
          <w:sz w:val="28"/>
          <w:szCs w:val="28"/>
        </w:rPr>
        <w:t xml:space="preserve">участок по обслуживанию оборудования блока №7 и ГТЭ-110)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 оборудования котлотурбинного цеха №1:</w:t>
      </w:r>
      <w:r/>
    </w:p>
    <w:p>
      <w:pPr>
        <w:pStyle w:val="6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энергоблок №1 (котел и </w:t>
      </w:r>
      <w:r>
        <w:rPr>
          <w:sz w:val="28"/>
          <w:szCs w:val="28"/>
        </w:rPr>
        <w:t xml:space="preserve">паровая </w:t>
      </w:r>
      <w:r>
        <w:rPr>
          <w:sz w:val="28"/>
          <w:szCs w:val="28"/>
        </w:rPr>
        <w:t xml:space="preserve">турбина) – 260 МВт;</w:t>
      </w:r>
      <w:r/>
    </w:p>
    <w:p>
      <w:pPr>
        <w:pStyle w:val="6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энергоблок №2 (котел и </w:t>
      </w:r>
      <w:r>
        <w:rPr>
          <w:sz w:val="28"/>
          <w:szCs w:val="28"/>
        </w:rPr>
        <w:t xml:space="preserve">паровая </w:t>
      </w:r>
      <w:r>
        <w:rPr>
          <w:sz w:val="28"/>
          <w:szCs w:val="28"/>
        </w:rPr>
        <w:t xml:space="preserve">турбина) – 33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МВт;</w:t>
      </w:r>
      <w:r/>
    </w:p>
    <w:p>
      <w:pPr>
        <w:pStyle w:val="6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энергоблок №3 (котел и </w:t>
      </w:r>
      <w:r>
        <w:rPr>
          <w:sz w:val="28"/>
          <w:szCs w:val="28"/>
        </w:rPr>
        <w:t xml:space="preserve">паровая </w:t>
      </w:r>
      <w:r>
        <w:rPr>
          <w:sz w:val="28"/>
          <w:szCs w:val="28"/>
        </w:rPr>
        <w:t xml:space="preserve">турбина) – 260 МВт;</w:t>
      </w:r>
      <w:r/>
    </w:p>
    <w:p>
      <w:pPr>
        <w:pStyle w:val="6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энергоблок №4 (котел и </w:t>
      </w:r>
      <w:r>
        <w:rPr>
          <w:sz w:val="28"/>
          <w:szCs w:val="28"/>
        </w:rPr>
        <w:t xml:space="preserve">паровая </w:t>
      </w:r>
      <w:r>
        <w:rPr>
          <w:sz w:val="28"/>
          <w:szCs w:val="28"/>
        </w:rPr>
        <w:t xml:space="preserve">турбина) – 260 МВт.</w:t>
      </w:r>
      <w:r/>
    </w:p>
    <w:p>
      <w:pPr>
        <w:pStyle w:val="6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 оборудования котлотурбинного цеха №2:</w:t>
      </w:r>
      <w:r/>
    </w:p>
    <w:p>
      <w:pPr>
        <w:pStyle w:val="6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энергоблок №5 (котел и </w:t>
      </w:r>
      <w:r>
        <w:rPr>
          <w:sz w:val="28"/>
          <w:szCs w:val="28"/>
        </w:rPr>
        <w:t xml:space="preserve">паровая </w:t>
      </w:r>
      <w:r>
        <w:rPr>
          <w:sz w:val="28"/>
          <w:szCs w:val="28"/>
        </w:rPr>
        <w:t xml:space="preserve">турбина) – 800 МВт;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pStyle w:val="6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энергоблок №6 (котел и </w:t>
      </w:r>
      <w:r>
        <w:rPr>
          <w:sz w:val="28"/>
          <w:szCs w:val="28"/>
        </w:rPr>
        <w:t xml:space="preserve">паровая </w:t>
      </w:r>
      <w:r>
        <w:rPr>
          <w:sz w:val="28"/>
          <w:szCs w:val="28"/>
        </w:rPr>
        <w:t xml:space="preserve">турбина) – 800 МВт.</w:t>
      </w:r>
      <w:r>
        <w:rPr>
          <w:sz w:val="28"/>
          <w:szCs w:val="28"/>
        </w:rPr>
      </w:r>
      <w:r/>
    </w:p>
    <w:p>
      <w:pPr>
        <w:pStyle w:val="6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 оборудования котлотурбинного цеха №2</w:t>
      </w:r>
      <w:r>
        <w:rPr>
          <w:sz w:val="28"/>
          <w:szCs w:val="28"/>
        </w:rPr>
        <w:t xml:space="preserve"> </w:t>
      </w:r>
      <w:r>
        <w:rPr>
          <w:szCs w:val="28"/>
        </w:rPr>
        <w:t xml:space="preserve">(</w:t>
      </w:r>
      <w:r>
        <w:rPr>
          <w:sz w:val="28"/>
          <w:szCs w:val="28"/>
        </w:rPr>
        <w:t xml:space="preserve">участок по обслуживанию оборудования блока №7 и ГТЭ-110)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pStyle w:val="6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энергоблок №7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котел и </w:t>
      </w:r>
      <w:r>
        <w:rPr>
          <w:sz w:val="28"/>
          <w:szCs w:val="28"/>
        </w:rPr>
        <w:t xml:space="preserve">паровая турбина) – 310 МВт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5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Пусковая котельная в составе:</w:t>
      </w:r>
      <w:r/>
    </w:p>
    <w:p>
      <w:pPr>
        <w:pStyle w:val="6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водогрейные котлы ПТВМ-30М-4 производительностью 30 Гкал/час - 2 агрегата;</w:t>
      </w:r>
      <w:r/>
    </w:p>
    <w:p>
      <w:pPr>
        <w:pStyle w:val="6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паровые котлы ДЕ-25 производительностью 25 т/час - 2 агрегата.</w:t>
      </w:r>
      <w:r/>
    </w:p>
    <w:p>
      <w:pPr>
        <w:pStyle w:val="65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Основное топливо 1 очереди – бурый уголь. </w:t>
      </w:r>
      <w:r>
        <w:rPr>
          <w:sz w:val="28"/>
          <w:szCs w:val="28"/>
        </w:rPr>
      </w:r>
      <w:r/>
    </w:p>
    <w:p>
      <w:pPr>
        <w:pStyle w:val="65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Основное топливо 2 очереди – газ, резервное топливо – мазут.</w:t>
      </w:r>
      <w:r/>
    </w:p>
    <w:p>
      <w:pPr>
        <w:pStyle w:val="65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Основное топливо 3 очереди – газ.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pStyle w:val="653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Станция работает в составе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"http://ru.wikipedia.org/wiki/%D0%9E%D0%B1%D1%8A%D0%B5%D0%B4%D0%B8%D0%BD%D0%B5%D0%BD%D0%BD%D0%B0%D1%8F_%D1%8D%D0%BD%D0%B5%D1%80%D0%B3%D0%BE%D1%81%D0%B8%D1%81%D1%82%D0%B5%D0%BC%D0%B0" \o "Объединенная энергосистема"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объединенной энергетической системы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(ОЭС) Центра и осуществляет выдачу мощности в сети 500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кВ и 220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"http://ru.wikipedia.org/wiki/%D0%92%D0%BE%D0%BB%D1%8C%D1%82" \o "Вольт" </w:instrText>
      </w:r>
      <w:r>
        <w:rPr>
          <w:sz w:val="28"/>
          <w:szCs w:val="28"/>
        </w:rPr>
        <w:fldChar w:fldCharType="separate"/>
      </w:r>
      <w:r>
        <w:rPr>
          <w:sz w:val="28"/>
          <w:szCs w:val="28"/>
        </w:rPr>
        <w:t xml:space="preserve">кВ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.</w:t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В систему технического водоснабжения входят следующие сооружения:</w:t>
      </w:r>
      <w:r>
        <w:rPr>
          <w:sz w:val="28"/>
          <w:szCs w:val="28"/>
          <w14:ligatures w14:val="none"/>
        </w:rPr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земляная плотина;</w:t>
      </w:r>
      <w:r>
        <w:rPr>
          <w:sz w:val="28"/>
          <w:szCs w:val="28"/>
          <w14:ligatures w14:val="none"/>
        </w:rPr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водосливная плотина; </w:t>
      </w:r>
      <w:r>
        <w:rPr>
          <w:sz w:val="28"/>
          <w:szCs w:val="28"/>
          <w14:ligatures w14:val="none"/>
        </w:rPr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глубинный водозабор;</w:t>
      </w:r>
      <w:r>
        <w:rPr>
          <w:sz w:val="28"/>
          <w:szCs w:val="28"/>
          <w14:ligatures w14:val="none"/>
        </w:rPr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открытый подводящий канал;</w:t>
      </w:r>
      <w:r>
        <w:rPr>
          <w:sz w:val="28"/>
          <w:szCs w:val="28"/>
          <w14:ligatures w14:val="none"/>
        </w:rPr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блочные насосные станции № 1 и № 2;</w:t>
      </w:r>
      <w:r>
        <w:rPr>
          <w:sz w:val="28"/>
          <w:szCs w:val="28"/>
          <w14:ligatures w14:val="none"/>
        </w:rPr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металлические напорные и сливные циркуляционные водоводы;</w:t>
      </w:r>
      <w:r>
        <w:rPr>
          <w:sz w:val="28"/>
          <w:szCs w:val="28"/>
          <w14:ligatures w14:val="none"/>
        </w:rPr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закрытые отводящие железобетонные каналы I и II очереди;</w:t>
      </w:r>
      <w:r>
        <w:rPr>
          <w:sz w:val="28"/>
          <w:szCs w:val="28"/>
          <w14:ligatures w14:val="none"/>
        </w:rPr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открытые отводящие каналы I и II очереди.</w:t>
      </w:r>
      <w:r>
        <w:rPr>
          <w:sz w:val="28"/>
          <w:szCs w:val="28"/>
          <w14:ligatures w14:val="none"/>
        </w:rPr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В состав сооружений системы гидрозолоудаления входят следующие сооружения</w:t>
      </w:r>
      <w:r>
        <w:rPr>
          <w:sz w:val="28"/>
          <w:szCs w:val="28"/>
          <w14:ligatures w14:val="none"/>
        </w:rPr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золошлакоотвал;</w:t>
      </w:r>
      <w:r>
        <w:rPr>
          <w:sz w:val="28"/>
          <w:szCs w:val="28"/>
          <w14:ligatures w14:val="none"/>
        </w:rPr>
      </w:r>
      <w:r/>
    </w:p>
    <w:p>
      <w:pPr>
        <w:ind w:firstLine="708"/>
        <w:jc w:val="both"/>
      </w:pPr>
      <w:r>
        <w:rPr>
          <w:sz w:val="28"/>
          <w:szCs w:val="28"/>
        </w:rPr>
        <w:t xml:space="preserve">золошлакопроводы;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14:ligatures w14:val="none"/>
        </w:rPr>
      </w:r>
      <w:r/>
    </w:p>
    <w:p>
      <w:pPr>
        <w:pStyle w:val="653"/>
        <w:ind w:firstLine="708"/>
        <w:jc w:val="both"/>
        <w:rPr>
          <w14:ligatures w14:val="none"/>
        </w:rPr>
      </w:pPr>
      <w:r>
        <w:rPr>
          <w:sz w:val="28"/>
          <w:szCs w:val="28"/>
        </w:rPr>
        <w:t xml:space="preserve">сооружения возврата осветленной воды (шахтные колодцы, открытый обводной канал, закрытые отводящие коллекторы, бассейн осветленной воды, насосная станция и водовод возврата осветленной воды).</w:t>
      </w:r>
      <w:r>
        <w:rPr>
          <w:sz w:val="28"/>
          <w:szCs w:val="28"/>
        </w:rPr>
      </w:r>
      <w:r/>
    </w:p>
    <w:p>
      <w:pPr>
        <w:ind w:firstLine="708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</w:rPr>
        <w:t xml:space="preserve">Источником технического водоснабжения является река Проня, правый приток реки Ок</w:t>
      </w:r>
      <w:r>
        <w:rPr>
          <w:sz w:val="28"/>
          <w:szCs w:val="28"/>
        </w:rPr>
        <w:t xml:space="preserve">и. Подвод воды на конденсаторы турбин ГРЭС обеспечивается путем забора необходимого расхода воды из водохранилища-охладителя блочными насосными станциями №№ 1, 2 (БНС - 1, 2) и подачи это</w:t>
      </w:r>
      <w:r>
        <w:rPr>
          <w:sz w:val="28"/>
          <w:szCs w:val="28"/>
        </w:rPr>
        <w:t xml:space="preserve">го расхода на ГРЭС с использованием напорных стальных циркводоводов. </w:t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/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firstLine="708"/>
        <w:jc w:val="both"/>
        <w:rPr>
          <w14:ligatures w14:val="none"/>
        </w:rPr>
      </w:pPr>
      <w:r>
        <w:rPr>
          <w:sz w:val="28"/>
          <w:szCs w:val="28"/>
        </w:rPr>
        <w:t xml:space="preserve">Гидроузел Рязанской ГРЭС </w:t>
      </w:r>
      <w:r>
        <w:rPr>
          <w:sz w:val="28"/>
          <w:szCs w:val="28"/>
          <w:lang w:eastAsia="ru-RU"/>
        </w:rPr>
        <w:t xml:space="preserve">относится к </w:t>
      </w:r>
      <w:r>
        <w:rPr>
          <w:sz w:val="28"/>
          <w:szCs w:val="28"/>
          <w:lang w:eastAsia="ru-RU"/>
        </w:rPr>
        <w:t xml:space="preserve">3 класс</w:t>
      </w:r>
      <w:r>
        <w:rPr>
          <w:sz w:val="28"/>
          <w:szCs w:val="28"/>
          <w:lang w:eastAsia="ru-RU"/>
        </w:rPr>
        <w:t xml:space="preserve">у.</w:t>
      </w:r>
      <w:r>
        <w:rPr>
          <w:sz w:val="28"/>
          <w:szCs w:val="28"/>
        </w:rPr>
      </w:r>
    </w:p>
    <w:p>
      <w:pPr>
        <w:ind w:firstLine="708"/>
        <w:jc w:val="both"/>
        <w:rPr>
          <w14:ligatures w14:val="none"/>
        </w:rPr>
      </w:pPr>
      <w:r>
        <w:rPr>
          <w:sz w:val="28"/>
          <w:szCs w:val="28"/>
        </w:rPr>
        <w:t xml:space="preserve">Створ гидроузла ГТС филиала ПАО «ОГК-2» - Рязанской ГРЭС расположен в 105,0 километрах от устья реки </w:t>
      </w:r>
      <w:r>
        <w:rPr>
          <w:sz w:val="28"/>
          <w:szCs w:val="28"/>
        </w:rPr>
        <w:t xml:space="preserve">Проня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в 231,0 км от ее истока.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14:ligatures w14:val="none"/>
        </w:rPr>
      </w:pPr>
      <w:r>
        <w:rPr>
          <w:sz w:val="28"/>
          <w:szCs w:val="28"/>
        </w:rPr>
        <w:t xml:space="preserve">Общая протяженность сооружений напорного фронта гидроузла – 482,38 м, в том числе земляная плотина – 338,0 м и водосливная плотина – 144,38 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14:ligatures w14:val="none"/>
        </w:rPr>
      </w:pPr>
      <w:r>
        <w:rPr>
          <w:sz w:val="28"/>
          <w:szCs w:val="28"/>
          <w:lang w:eastAsia="ru-RU"/>
        </w:rPr>
        <w:t xml:space="preserve">Водосливная плотина </w:t>
      </w:r>
      <w:r>
        <w:rPr>
          <w:sz w:val="28"/>
          <w:szCs w:val="28"/>
          <w:lang w:eastAsia="ru-RU"/>
        </w:rPr>
        <w:t xml:space="preserve">- </w:t>
      </w:r>
      <w:r>
        <w:rPr>
          <w:sz w:val="28"/>
          <w:szCs w:val="28"/>
          <w:lang w:eastAsia="ru-RU"/>
        </w:rPr>
        <w:t xml:space="preserve">бетонная, гравитационная, с водосливом практического профиля, имеет 5 водосбросных пролетов шириной по 18,0 м, перекрытых сегментными затворами с клапанами. </w:t>
      </w:r>
      <w:r>
        <w:rPr>
          <w:sz w:val="28"/>
          <w:szCs w:val="28"/>
        </w:rPr>
        <w:t xml:space="preserve">В обоих береговых устоях сооружены донные водосбросы, пропускной способностью по 5,8 м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/с,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оборудованные задвижками с электроприводом.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Донные водосбросы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представляют собой напорные трубопроводы диаметром 1 м</w:t>
      </w:r>
      <w:r>
        <w:rPr>
          <w:sz w:val="28"/>
          <w:szCs w:val="28"/>
          <w:lang w:eastAsia="ru-RU"/>
        </w:rPr>
        <w:t xml:space="preserve">.</w:t>
      </w:r>
      <w:r>
        <w:rPr>
          <w:sz w:val="28"/>
          <w:szCs w:val="28"/>
          <w:lang w:eastAsia="ru-RU"/>
        </w:rPr>
      </w:r>
      <w:r>
        <w:rPr>
          <w:sz w:val="28"/>
          <w:szCs w:val="28"/>
        </w:rPr>
      </w:r>
    </w:p>
    <w:p>
      <w:pPr>
        <w:ind w:firstLine="708"/>
        <w:jc w:val="both"/>
        <w:rPr>
          <w14:ligatures w14:val="none"/>
        </w:rPr>
      </w:pPr>
      <w:r>
        <w:rPr>
          <w:sz w:val="28"/>
          <w:szCs w:val="28"/>
        </w:rPr>
        <w:t xml:space="preserve">Через донные водосбросы осуществляется санитарный и другие попуски в нижний бьеф в меженный период.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14:ligatures w14:val="none"/>
        </w:rPr>
      </w:pPr>
      <w:r>
        <w:rPr>
          <w:sz w:val="28"/>
          <w:szCs w:val="28"/>
        </w:rPr>
        <w:t xml:space="preserve">Земляная плотина выполнена насыпным способом из местных суглинков, однородная. Плотина перекрывает русло р. </w:t>
      </w:r>
      <w:r>
        <w:rPr>
          <w:sz w:val="28"/>
          <w:szCs w:val="28"/>
        </w:rPr>
        <w:t xml:space="preserve">Прони</w:t>
      </w:r>
      <w:r>
        <w:rPr>
          <w:sz w:val="28"/>
          <w:szCs w:val="28"/>
        </w:rPr>
        <w:t xml:space="preserve"> и часть правобережной поймы, где ее высота с 16,0 м уменьшается до 10,0 м. По гребню плотины проходит автодорога.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  <w14:ligatures w14:val="none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  <w14:ligatures w14:val="none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  <w14:ligatures w14:val="none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3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426" w:right="567" w:bottom="567" w:left="1985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1"/>
      <w:rPr>
        <w:rStyle w:val="662"/>
      </w:rPr>
      <w:framePr w:wrap="around" w:vAnchor="text" w:hAnchor="margin" w:xAlign="center" w:y="1"/>
    </w:pPr>
    <w:r>
      <w:rPr>
        <w:rStyle w:val="662"/>
      </w:rPr>
      <w:fldChar w:fldCharType="begin"/>
    </w:r>
    <w:r>
      <w:rPr>
        <w:rStyle w:val="662"/>
      </w:rPr>
      <w:instrText xml:space="preserve">PAGE  </w:instrText>
    </w:r>
    <w:r>
      <w:rPr>
        <w:rStyle w:val="662"/>
      </w:rPr>
      <w:fldChar w:fldCharType="separate"/>
    </w:r>
    <w:r>
      <w:rPr>
        <w:rStyle w:val="662"/>
      </w:rPr>
      <w:t xml:space="preserve">17</w:t>
    </w:r>
    <w:r>
      <w:rPr>
        <w:rStyle w:val="662"/>
      </w:rPr>
      <w:fldChar w:fldCharType="end"/>
    </w:r>
    <w:r>
      <w:rPr>
        <w:rStyle w:val="662"/>
      </w:rPr>
    </w:r>
    <w:r/>
  </w:p>
  <w:p>
    <w:pPr>
      <w:pStyle w:val="66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1"/>
      <w:rPr>
        <w:rStyle w:val="662"/>
      </w:rPr>
      <w:framePr w:wrap="around" w:vAnchor="text" w:hAnchor="margin" w:xAlign="center" w:y="1"/>
    </w:pPr>
    <w:r>
      <w:rPr>
        <w:rStyle w:val="662"/>
      </w:rPr>
      <w:fldChar w:fldCharType="begin"/>
    </w:r>
    <w:r>
      <w:rPr>
        <w:rStyle w:val="662"/>
      </w:rPr>
      <w:instrText xml:space="preserve">PAGE  </w:instrText>
    </w:r>
    <w:r>
      <w:rPr>
        <w:rStyle w:val="662"/>
      </w:rPr>
      <w:fldChar w:fldCharType="end"/>
    </w:r>
    <w:r>
      <w:rPr>
        <w:rStyle w:val="662"/>
      </w:rPr>
    </w:r>
    <w:r/>
  </w:p>
  <w:p>
    <w:pPr>
      <w:pStyle w:val="66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653"/>
        <w:ind w:left="0" w:firstLine="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65535"/>
      <w:numFmt w:val="bullet"/>
      <w:isLgl w:val="false"/>
      <w:suff w:val="tab"/>
      <w:lvlText w:val="-"/>
      <w:legacy w:legacy="1" w:legacyIndent="0" w:legacySpace="0"/>
      <w:lvlJc w:val="left"/>
      <w:pPr>
        <w:pStyle w:val="653"/>
        <w:ind w:left="0" w:firstLine="0"/>
      </w:pPr>
      <w:rPr>
        <w:rFonts w:ascii="Times New Roman" w:hAnsi="Times New Roman" w:cs="Times New Roman"/>
      </w:rPr>
    </w:lvl>
    <w:lvl w:ilvl="1">
      <w:start w:val="65535"/>
      <w:numFmt w:val="bullet"/>
      <w:isLgl w:val="false"/>
      <w:suff w:val="tab"/>
      <w:lvlText w:val="-"/>
      <w:lvlJc w:val="left"/>
      <w:pPr>
        <w:pStyle w:val="653"/>
        <w:ind w:left="2523" w:hanging="360"/>
      </w:pPr>
      <w:rPr>
        <w:rFonts w:ascii="Times New Roman" w:hAnsi="Times New Roman" w:cs="Times New Roman"/>
      </w:rPr>
    </w:lvl>
    <w:lvl w:ilvl="2">
      <w:start w:val="1"/>
      <w:numFmt w:val="bullet"/>
      <w:isLgl w:val="false"/>
      <w:suff w:val="tab"/>
      <w:lvlText w:val=""/>
      <w:lvlJc w:val="left"/>
      <w:pPr>
        <w:pStyle w:val="653"/>
        <w:ind w:left="3243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53"/>
        <w:ind w:left="3963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53"/>
        <w:ind w:left="4683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53"/>
        <w:ind w:left="5403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53"/>
        <w:ind w:left="6123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53"/>
        <w:ind w:left="6843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53"/>
        <w:ind w:left="7563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653"/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53"/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53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53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53"/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53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53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53"/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53"/>
        <w:ind w:left="7189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3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53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53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53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53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53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53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53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53"/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653"/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53"/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53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53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53"/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53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53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53"/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53"/>
        <w:ind w:left="7189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3"/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53"/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53"/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53"/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53"/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53"/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53"/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53"/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53"/>
        <w:ind w:left="6828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3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653"/>
        <w:ind w:left="720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53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53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53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53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53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53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53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53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53"/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653"/>
        <w:ind w:left="930" w:hanging="360"/>
      </w:pPr>
      <w:rPr>
        <w:rFonts w:ascii="Symbol" w:hAnsi="Symbol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6"/>
    <w:lvlOverride w:ilvl="0">
      <w:startOverride w:val="1"/>
    </w:lvlOverride>
  </w:num>
  <w:num w:numId="5">
    <w:abstractNumId w:val="2"/>
  </w:num>
  <w:num w:numId="6">
    <w:abstractNumId w:val="5"/>
  </w:num>
  <w:num w:numId="7">
    <w:abstractNumId w:val="3"/>
  </w:num>
  <w:num w:numId="8">
    <w:abstractNumId w:val="8"/>
  </w:num>
  <w:num w:numId="9">
    <w:abstractNumId w:val="1"/>
  </w:num>
  <w:num w:numId="10">
    <w:abstractNumId w:val="0"/>
    <w:lvlOverride w:ilvl="0">
      <w:lvl w:ilvl="0">
        <w:start w:val="0"/>
        <w:numFmt w:val="bullet"/>
        <w:isLgl w:val="false"/>
        <w:suff w:val="tab"/>
        <w:lvlText w:val="-"/>
        <w:legacy w:legacy="1" w:legacyIndent="0" w:legacySpace="0"/>
        <w:lvlJc w:val="left"/>
        <w:pPr>
          <w:pStyle w:val="653"/>
          <w:ind w:left="0" w:firstLine="0"/>
        </w:pPr>
        <w:rPr>
          <w:rFonts w:ascii="Times New Roman" w:hAnsi="Times New Roman"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53"/>
    <w:next w:val="653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53"/>
    <w:next w:val="653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53"/>
    <w:next w:val="653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53"/>
    <w:next w:val="653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53"/>
    <w:next w:val="653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53"/>
    <w:next w:val="653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53"/>
    <w:next w:val="653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53"/>
    <w:next w:val="653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53"/>
    <w:next w:val="653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53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53"/>
    <w:next w:val="653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653"/>
    <w:next w:val="653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653"/>
    <w:next w:val="653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53"/>
    <w:next w:val="653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53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653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653"/>
    <w:next w:val="6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53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653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653"/>
    <w:next w:val="653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53"/>
    <w:next w:val="653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53"/>
    <w:next w:val="653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53"/>
    <w:next w:val="653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53"/>
    <w:next w:val="653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53"/>
    <w:next w:val="653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53"/>
    <w:next w:val="653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53"/>
    <w:next w:val="653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53"/>
    <w:next w:val="653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53"/>
    <w:next w:val="653"/>
    <w:uiPriority w:val="99"/>
    <w:unhideWhenUsed/>
    <w:pPr>
      <w:spacing w:after="0" w:afterAutospacing="0"/>
    </w:pPr>
  </w:style>
  <w:style w:type="paragraph" w:styleId="653" w:default="1">
    <w:name w:val="Normal"/>
    <w:next w:val="653"/>
    <w:link w:val="653"/>
    <w:qFormat/>
    <w:rPr>
      <w:sz w:val="24"/>
      <w:szCs w:val="24"/>
      <w:lang w:val="ru-RU" w:eastAsia="ru-RU" w:bidi="ar-SA"/>
    </w:rPr>
  </w:style>
  <w:style w:type="paragraph" w:styleId="654">
    <w:name w:val="Заголовок 1"/>
    <w:basedOn w:val="653"/>
    <w:next w:val="653"/>
    <w:link w:val="665"/>
    <w:qFormat/>
    <w:pPr>
      <w:jc w:val="both"/>
      <w:keepNext/>
      <w:outlineLvl w:val="0"/>
    </w:pPr>
    <w:rPr>
      <w:b/>
      <w:i/>
      <w:color w:val="008000"/>
      <w:u w:val="single"/>
    </w:rPr>
  </w:style>
  <w:style w:type="paragraph" w:styleId="655">
    <w:name w:val="Заголовок 3"/>
    <w:basedOn w:val="653"/>
    <w:next w:val="653"/>
    <w:link w:val="666"/>
    <w:semiHidden/>
    <w:unhideWhenUsed/>
    <w:qFormat/>
    <w:pPr>
      <w:jc w:val="center"/>
      <w:keepNext/>
      <w:outlineLvl w:val="2"/>
    </w:pPr>
    <w:rPr>
      <w:b/>
      <w:i/>
      <w:color w:val="008000"/>
      <w:u w:val="single"/>
    </w:rPr>
  </w:style>
  <w:style w:type="paragraph" w:styleId="656">
    <w:name w:val="Заголовок 4"/>
    <w:basedOn w:val="653"/>
    <w:next w:val="653"/>
    <w:link w:val="667"/>
    <w:semiHidden/>
    <w:unhideWhenUsed/>
    <w:qFormat/>
    <w:pPr>
      <w:ind w:firstLine="360"/>
      <w:jc w:val="both"/>
      <w:keepNext/>
      <w:outlineLvl w:val="3"/>
    </w:pPr>
    <w:rPr>
      <w:b/>
      <w:i/>
      <w:u w:val="single"/>
    </w:rPr>
  </w:style>
  <w:style w:type="character" w:styleId="657">
    <w:name w:val="Основной шрифт абзаца"/>
    <w:next w:val="657"/>
    <w:link w:val="653"/>
    <w:semiHidden/>
  </w:style>
  <w:style w:type="table" w:styleId="658">
    <w:name w:val="Обычная таблица"/>
    <w:next w:val="658"/>
    <w:link w:val="653"/>
    <w:semiHidden/>
    <w:tblPr/>
  </w:style>
  <w:style w:type="numbering" w:styleId="659">
    <w:name w:val="Нет списка"/>
    <w:next w:val="659"/>
    <w:link w:val="653"/>
    <w:semiHidden/>
  </w:style>
  <w:style w:type="table" w:styleId="660">
    <w:name w:val="Сетка таблицы"/>
    <w:basedOn w:val="658"/>
    <w:next w:val="660"/>
    <w:link w:val="653"/>
    <w:tblPr/>
  </w:style>
  <w:style w:type="paragraph" w:styleId="661">
    <w:name w:val="Верхний колонтитул"/>
    <w:basedOn w:val="653"/>
    <w:next w:val="661"/>
    <w:link w:val="653"/>
    <w:pPr>
      <w:tabs>
        <w:tab w:val="center" w:pos="4677" w:leader="none"/>
        <w:tab w:val="right" w:pos="9355" w:leader="none"/>
      </w:tabs>
    </w:pPr>
  </w:style>
  <w:style w:type="character" w:styleId="662">
    <w:name w:val="Номер страницы"/>
    <w:basedOn w:val="657"/>
    <w:next w:val="662"/>
    <w:link w:val="653"/>
  </w:style>
  <w:style w:type="paragraph" w:styleId="663">
    <w:name w:val="Текст выноски"/>
    <w:basedOn w:val="653"/>
    <w:next w:val="663"/>
    <w:link w:val="653"/>
    <w:semiHidden/>
    <w:rPr>
      <w:rFonts w:ascii="Tahoma" w:hAnsi="Tahoma" w:cs="Tahoma"/>
      <w:sz w:val="16"/>
      <w:szCs w:val="16"/>
    </w:rPr>
  </w:style>
  <w:style w:type="character" w:styleId="664">
    <w:name w:val="Гиперссылка"/>
    <w:next w:val="664"/>
    <w:link w:val="653"/>
    <w:unhideWhenUsed/>
    <w:rPr>
      <w:color w:val="0000ff"/>
      <w:u w:val="single"/>
    </w:rPr>
  </w:style>
  <w:style w:type="character" w:styleId="665">
    <w:name w:val="Заголовок 1 Знак"/>
    <w:next w:val="665"/>
    <w:link w:val="654"/>
    <w:rPr>
      <w:b/>
      <w:i/>
      <w:color w:val="008000"/>
      <w:sz w:val="24"/>
      <w:szCs w:val="24"/>
      <w:u w:val="single"/>
    </w:rPr>
  </w:style>
  <w:style w:type="character" w:styleId="666">
    <w:name w:val="Заголовок 3 Знак"/>
    <w:next w:val="666"/>
    <w:link w:val="655"/>
    <w:semiHidden/>
    <w:rPr>
      <w:b/>
      <w:i/>
      <w:color w:val="008000"/>
      <w:sz w:val="24"/>
      <w:szCs w:val="24"/>
      <w:u w:val="single"/>
    </w:rPr>
  </w:style>
  <w:style w:type="character" w:styleId="667">
    <w:name w:val="Заголовок 4 Знак"/>
    <w:next w:val="667"/>
    <w:link w:val="656"/>
    <w:semiHidden/>
    <w:rPr>
      <w:b/>
      <w:i/>
      <w:sz w:val="24"/>
      <w:szCs w:val="24"/>
      <w:u w:val="single"/>
    </w:rPr>
  </w:style>
  <w:style w:type="paragraph" w:styleId="668">
    <w:name w:val="Название объекта"/>
    <w:basedOn w:val="653"/>
    <w:next w:val="653"/>
    <w:link w:val="653"/>
    <w:semiHidden/>
    <w:unhideWhenUsed/>
    <w:qFormat/>
    <w:pPr>
      <w:jc w:val="center"/>
    </w:pPr>
    <w:rPr>
      <w:b/>
      <w:i/>
      <w:color w:val="008000"/>
      <w:u w:val="single"/>
    </w:rPr>
  </w:style>
  <w:style w:type="paragraph" w:styleId="669">
    <w:name w:val="Основной текст с отступом"/>
    <w:basedOn w:val="653"/>
    <w:next w:val="669"/>
    <w:link w:val="670"/>
    <w:unhideWhenUsed/>
    <w:pPr>
      <w:ind w:firstLine="360"/>
      <w:jc w:val="both"/>
    </w:pPr>
  </w:style>
  <w:style w:type="character" w:styleId="670">
    <w:name w:val="Основной текст с отступом Знак"/>
    <w:next w:val="670"/>
    <w:link w:val="669"/>
    <w:rPr>
      <w:sz w:val="24"/>
      <w:szCs w:val="24"/>
    </w:rPr>
  </w:style>
  <w:style w:type="paragraph" w:styleId="671">
    <w:name w:val="Основной текст 2"/>
    <w:basedOn w:val="653"/>
    <w:next w:val="671"/>
    <w:link w:val="672"/>
    <w:unhideWhenUsed/>
    <w:pPr>
      <w:jc w:val="both"/>
    </w:pPr>
    <w:rPr>
      <w:rFonts w:ascii="Arial" w:hAnsi="Arial"/>
      <w:sz w:val="28"/>
    </w:rPr>
  </w:style>
  <w:style w:type="character" w:styleId="672">
    <w:name w:val="Основной текст 2 Знак"/>
    <w:next w:val="672"/>
    <w:link w:val="671"/>
    <w:rPr>
      <w:rFonts w:ascii="Arial" w:hAnsi="Arial"/>
      <w:sz w:val="28"/>
      <w:szCs w:val="24"/>
    </w:rPr>
  </w:style>
  <w:style w:type="paragraph" w:styleId="673">
    <w:name w:val="Основной текст 3"/>
    <w:basedOn w:val="653"/>
    <w:next w:val="673"/>
    <w:link w:val="674"/>
    <w:unhideWhenUsed/>
    <w:pPr>
      <w:jc w:val="both"/>
    </w:pPr>
  </w:style>
  <w:style w:type="character" w:styleId="674">
    <w:name w:val="Основной текст 3 Знак"/>
    <w:next w:val="674"/>
    <w:link w:val="673"/>
    <w:rPr>
      <w:sz w:val="24"/>
      <w:szCs w:val="24"/>
    </w:rPr>
  </w:style>
  <w:style w:type="paragraph" w:styleId="675">
    <w:name w:val="Основной текст с отступом 2"/>
    <w:basedOn w:val="653"/>
    <w:next w:val="675"/>
    <w:link w:val="676"/>
    <w:unhideWhenUsed/>
    <w:pPr>
      <w:ind w:firstLine="360"/>
    </w:pPr>
  </w:style>
  <w:style w:type="character" w:styleId="676">
    <w:name w:val="Основной текст с отступом 2 Знак"/>
    <w:next w:val="676"/>
    <w:link w:val="675"/>
    <w:rPr>
      <w:sz w:val="24"/>
      <w:szCs w:val="24"/>
    </w:rPr>
  </w:style>
  <w:style w:type="paragraph" w:styleId="677">
    <w:name w:val="Основной текст с отступом 3"/>
    <w:basedOn w:val="653"/>
    <w:next w:val="677"/>
    <w:link w:val="678"/>
    <w:unhideWhenUsed/>
    <w:pPr>
      <w:ind w:firstLine="540"/>
      <w:jc w:val="both"/>
    </w:pPr>
  </w:style>
  <w:style w:type="character" w:styleId="678">
    <w:name w:val="Основной текст с отступом 3 Знак"/>
    <w:next w:val="678"/>
    <w:link w:val="677"/>
    <w:rPr>
      <w:sz w:val="24"/>
      <w:szCs w:val="24"/>
    </w:rPr>
  </w:style>
  <w:style w:type="character" w:styleId="1896" w:default="1">
    <w:name w:val="Default Paragraph Font"/>
    <w:uiPriority w:val="1"/>
    <w:semiHidden/>
    <w:unhideWhenUsed/>
  </w:style>
  <w:style w:type="numbering" w:styleId="1897" w:default="1">
    <w:name w:val="No List"/>
    <w:uiPriority w:val="99"/>
    <w:semiHidden/>
    <w:unhideWhenUsed/>
  </w:style>
  <w:style w:type="table" w:styleId="189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>ОАО "Рязанская ГРЭС"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Приложение</dc:title>
  <dc:creator>ktt</dc:creator>
  <cp:revision>46</cp:revision>
  <dcterms:created xsi:type="dcterms:W3CDTF">2009-09-24T09:46:00Z</dcterms:created>
  <dcterms:modified xsi:type="dcterms:W3CDTF">2023-03-24T12:47:56Z</dcterms:modified>
  <cp:version>983040</cp:version>
</cp:coreProperties>
</file>